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5C" w:rsidRPr="008C27BA" w:rsidRDefault="00C326C8" w:rsidP="008C27BA">
      <w:pPr>
        <w:jc w:val="center"/>
        <w:rPr>
          <w:rFonts w:ascii="Palatino Linotype" w:hAnsi="Palatino Linotype"/>
          <w:b/>
          <w:sz w:val="24"/>
          <w:szCs w:val="24"/>
        </w:rPr>
      </w:pPr>
      <w:r w:rsidRPr="008C27BA">
        <w:rPr>
          <w:rFonts w:ascii="Palatino Linotype" w:hAnsi="Palatino Linotype"/>
          <w:b/>
          <w:sz w:val="24"/>
          <w:szCs w:val="24"/>
        </w:rPr>
        <w:t>ΕΝΗΜΕΡΩΣΗ ΓΙΑ ΤΙΣ ΑΠΟΥΣΙΕΣ</w:t>
      </w:r>
    </w:p>
    <w:p w:rsidR="000251EF" w:rsidRDefault="000251EF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  <w:lang w:val="en-US"/>
        </w:rPr>
      </w:pPr>
      <w:r>
        <w:rPr>
          <w:rFonts w:ascii="Palatino Linotype" w:hAnsi="Palatino Linotype" w:cs="MyriadPro-Regular"/>
          <w:sz w:val="24"/>
          <w:szCs w:val="24"/>
        </w:rPr>
        <w:t xml:space="preserve">Σας ενημερώνουμε σχετικά με το νομοθετικό πλαίσιο που ισχύει για τη φοίτηση και τις απουσίες των μαθητών Γυμνασίου, σύμφωνα με την </w:t>
      </w:r>
      <w:r w:rsidRPr="008C27BA">
        <w:rPr>
          <w:rFonts w:ascii="Palatino Linotype" w:hAnsi="Palatino Linotype" w:cs="MyriadPro-Regular"/>
          <w:b/>
          <w:sz w:val="24"/>
          <w:szCs w:val="24"/>
        </w:rPr>
        <w:t xml:space="preserve">Υ.Α. </w:t>
      </w:r>
    </w:p>
    <w:p w:rsidR="006C52E6" w:rsidRPr="006C52E6" w:rsidRDefault="006C52E6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  <w:r w:rsidRPr="006C52E6">
        <w:rPr>
          <w:rFonts w:ascii="Palatino Linotype" w:hAnsi="Palatino Linotype"/>
          <w:b/>
          <w:sz w:val="24"/>
          <w:szCs w:val="24"/>
        </w:rPr>
        <w:t>79942/ΓΔ4 (ΦΕΚ 2005/Β’/31-5-2019):</w:t>
      </w:r>
    </w:p>
    <w:p w:rsidR="00C326C8" w:rsidRPr="008C27BA" w:rsidRDefault="00551D82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  <w:r w:rsidRPr="008C27BA">
        <w:rPr>
          <w:rFonts w:ascii="Palatino Linotype" w:hAnsi="Palatino Linotype" w:cs="MyriadPro-Regular"/>
          <w:b/>
          <w:sz w:val="24"/>
          <w:szCs w:val="24"/>
        </w:rPr>
        <w:t xml:space="preserve">Α. </w:t>
      </w:r>
      <w:r w:rsidR="00C326C8" w:rsidRPr="008C27BA">
        <w:rPr>
          <w:rFonts w:ascii="Palatino Linotype" w:hAnsi="Palatino Linotype" w:cs="MyriadPro-Regular"/>
          <w:b/>
          <w:sz w:val="24"/>
          <w:szCs w:val="24"/>
        </w:rPr>
        <w:t>Χαρακτηρισμός φοίτησης, συνέπειες</w:t>
      </w:r>
    </w:p>
    <w:p w:rsidR="00C326C8" w:rsidRPr="00353A38" w:rsidRDefault="00353A38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4"/>
          <w:szCs w:val="24"/>
          <w:u w:val="single"/>
        </w:rPr>
      </w:pPr>
      <w:r>
        <w:rPr>
          <w:rFonts w:ascii="Palatino Linotype" w:hAnsi="Palatino Linotype" w:cs="MyriadPro-Regular"/>
          <w:sz w:val="24"/>
          <w:szCs w:val="24"/>
        </w:rPr>
        <w:t>1</w:t>
      </w:r>
      <w:r w:rsidR="00C326C8" w:rsidRPr="00976B6D">
        <w:rPr>
          <w:rFonts w:ascii="Palatino Linotype" w:hAnsi="Palatino Linotype" w:cs="MyriadPro-Regular"/>
          <w:sz w:val="24"/>
          <w:szCs w:val="24"/>
        </w:rPr>
        <w:t xml:space="preserve">. </w:t>
      </w:r>
      <w:r w:rsidRPr="00353A38">
        <w:rPr>
          <w:rFonts w:ascii="Palatino Linotype" w:hAnsi="Palatino Linotype" w:cs="MyriadPro-Regular"/>
          <w:sz w:val="24"/>
          <w:szCs w:val="24"/>
          <w:u w:val="single"/>
        </w:rPr>
        <w:t>Ο</w:t>
      </w:r>
      <w:r w:rsidR="00C326C8" w:rsidRPr="00353A38">
        <w:rPr>
          <w:rFonts w:ascii="Palatino Linotype" w:hAnsi="Palatino Linotype" w:cs="MyriadPro-Regular"/>
          <w:sz w:val="24"/>
          <w:szCs w:val="24"/>
          <w:u w:val="single"/>
        </w:rPr>
        <w:t>ι απουσίες δεν διακρίνονται</w:t>
      </w:r>
      <w:r w:rsidR="00851015" w:rsidRPr="00353A38">
        <w:rPr>
          <w:rFonts w:ascii="Palatino Linotype" w:hAnsi="Palatino Linotype" w:cs="MyriadPro-Regular"/>
          <w:sz w:val="24"/>
          <w:szCs w:val="24"/>
          <w:u w:val="single"/>
        </w:rPr>
        <w:t xml:space="preserve"> </w:t>
      </w:r>
      <w:r w:rsidR="00C326C8" w:rsidRPr="00353A38">
        <w:rPr>
          <w:rFonts w:ascii="Palatino Linotype" w:hAnsi="Palatino Linotype" w:cs="MyriadPro-Regular"/>
          <w:sz w:val="24"/>
          <w:szCs w:val="24"/>
          <w:u w:val="single"/>
        </w:rPr>
        <w:t>σε δικαιολογημένες και αδικαιολόγητες.</w:t>
      </w:r>
    </w:p>
    <w:p w:rsidR="00C326C8" w:rsidRPr="00976B6D" w:rsidRDefault="00353A38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4"/>
          <w:szCs w:val="24"/>
        </w:rPr>
      </w:pPr>
      <w:r>
        <w:rPr>
          <w:rFonts w:ascii="Palatino Linotype" w:hAnsi="Palatino Linotype" w:cs="MyriadPro-Regular"/>
          <w:sz w:val="24"/>
          <w:szCs w:val="24"/>
        </w:rPr>
        <w:t>2</w:t>
      </w:r>
      <w:r w:rsidR="00C326C8" w:rsidRPr="00976B6D">
        <w:rPr>
          <w:rFonts w:ascii="Palatino Linotype" w:hAnsi="Palatino Linotype" w:cs="MyriadPro-Regular"/>
          <w:sz w:val="24"/>
          <w:szCs w:val="24"/>
        </w:rPr>
        <w:t>. Επαρκής χαρακτηρίζεται η φοίτηση μαθητών/τριών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="00C326C8" w:rsidRPr="00976B6D">
        <w:rPr>
          <w:rFonts w:ascii="Palatino Linotype" w:hAnsi="Palatino Linotype" w:cs="MyriadPro-Regular"/>
          <w:sz w:val="24"/>
          <w:szCs w:val="24"/>
        </w:rPr>
        <w:t xml:space="preserve">εφόσον το σύνολο των απουσιών του/της </w:t>
      </w:r>
      <w:r w:rsidR="00C326C8" w:rsidRPr="008C27BA">
        <w:rPr>
          <w:rFonts w:ascii="Palatino Linotype" w:hAnsi="Palatino Linotype" w:cs="MyriadPro-Regular"/>
          <w:b/>
          <w:sz w:val="24"/>
          <w:szCs w:val="24"/>
          <w:u w:val="single"/>
        </w:rPr>
        <w:t>δεν υπερβαίνει</w:t>
      </w:r>
      <w:r w:rsidR="00851015" w:rsidRPr="008C27BA">
        <w:rPr>
          <w:rFonts w:ascii="Palatino Linotype" w:hAnsi="Palatino Linotype" w:cs="MyriadPro-Regular"/>
          <w:b/>
          <w:sz w:val="24"/>
          <w:szCs w:val="24"/>
          <w:u w:val="single"/>
        </w:rPr>
        <w:t xml:space="preserve"> </w:t>
      </w:r>
      <w:r w:rsidR="00C326C8" w:rsidRPr="008C27BA">
        <w:rPr>
          <w:rFonts w:ascii="Palatino Linotype" w:hAnsi="Palatino Linotype" w:cs="MyriadPro-Regular"/>
          <w:b/>
          <w:sz w:val="24"/>
          <w:szCs w:val="24"/>
          <w:u w:val="single"/>
        </w:rPr>
        <w:t xml:space="preserve">τις εκατόν δεκατέσσερις </w:t>
      </w:r>
      <w:r w:rsidR="00C326C8" w:rsidRPr="0013559C">
        <w:rPr>
          <w:rFonts w:ascii="Palatino Linotype" w:hAnsi="Palatino Linotype" w:cs="MyriadPro-Regular"/>
          <w:b/>
          <w:sz w:val="24"/>
          <w:szCs w:val="24"/>
          <w:u w:val="single"/>
        </w:rPr>
        <w:t>(114).</w:t>
      </w:r>
    </w:p>
    <w:p w:rsidR="00C326C8" w:rsidRPr="00976B6D" w:rsidRDefault="00353A38" w:rsidP="0085101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4"/>
          <w:szCs w:val="24"/>
        </w:rPr>
      </w:pPr>
      <w:r>
        <w:rPr>
          <w:rFonts w:ascii="Palatino Linotype" w:hAnsi="Palatino Linotype" w:cs="MyriadPro-Regular"/>
          <w:sz w:val="24"/>
          <w:szCs w:val="24"/>
        </w:rPr>
        <w:t>3</w:t>
      </w:r>
      <w:r w:rsidR="00C326C8" w:rsidRPr="00976B6D">
        <w:rPr>
          <w:rFonts w:ascii="Palatino Linotype" w:hAnsi="Palatino Linotype" w:cs="MyriadPro-Regular"/>
          <w:sz w:val="24"/>
          <w:szCs w:val="24"/>
        </w:rPr>
        <w:t>. Ανεπαρκής χαρακτηρίζεται η φοίτηση μαθητή/</w:t>
      </w:r>
      <w:proofErr w:type="spellStart"/>
      <w:r w:rsidR="00C326C8" w:rsidRPr="00976B6D">
        <w:rPr>
          <w:rFonts w:ascii="Palatino Linotype" w:hAnsi="Palatino Linotype" w:cs="MyriadPro-Regular"/>
          <w:sz w:val="24"/>
          <w:szCs w:val="24"/>
        </w:rPr>
        <w:t>τριας</w:t>
      </w:r>
      <w:proofErr w:type="spellEnd"/>
      <w:r w:rsidR="00C326C8" w:rsidRPr="00976B6D">
        <w:rPr>
          <w:rFonts w:ascii="Palatino Linotype" w:hAnsi="Palatino Linotype" w:cs="MyriadPro-Regular"/>
          <w:sz w:val="24"/>
          <w:szCs w:val="24"/>
        </w:rPr>
        <w:t xml:space="preserve"> που σημείωσε πάνω από εκατόν δεκατέσσερις (114)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="00C326C8" w:rsidRPr="00976B6D">
        <w:rPr>
          <w:rFonts w:ascii="Palatino Linotype" w:hAnsi="Palatino Linotype" w:cs="MyriadPro-Regular"/>
          <w:sz w:val="24"/>
          <w:szCs w:val="24"/>
        </w:rPr>
        <w:t>απουσίες. Οι μαθητές/</w:t>
      </w:r>
      <w:proofErr w:type="spellStart"/>
      <w:r w:rsidR="00C326C8" w:rsidRPr="00976B6D">
        <w:rPr>
          <w:rFonts w:ascii="Palatino Linotype" w:hAnsi="Palatino Linotype" w:cs="MyriadPro-Regular"/>
          <w:sz w:val="24"/>
          <w:szCs w:val="24"/>
        </w:rPr>
        <w:t>τριες</w:t>
      </w:r>
      <w:proofErr w:type="spellEnd"/>
      <w:r w:rsidR="00C326C8" w:rsidRPr="00976B6D">
        <w:rPr>
          <w:rFonts w:ascii="Palatino Linotype" w:hAnsi="Palatino Linotype" w:cs="MyriadPro-Regular"/>
          <w:sz w:val="24"/>
          <w:szCs w:val="24"/>
        </w:rPr>
        <w:t xml:space="preserve"> των οποίων η φοίτηση χαρακτηρίζεται ανεπαρκής είναι υποχρεωμένοι/ες να επαναλάβουν τη φοίτηση τους στην ίδια τάξη.</w:t>
      </w:r>
    </w:p>
    <w:p w:rsidR="00976B6D" w:rsidRPr="008C27BA" w:rsidRDefault="00551D82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  <w:r w:rsidRPr="008C27BA">
        <w:rPr>
          <w:rFonts w:ascii="Palatino Linotype" w:hAnsi="Palatino Linotype" w:cs="MyriadPro-Regular"/>
          <w:b/>
          <w:sz w:val="24"/>
          <w:szCs w:val="24"/>
        </w:rPr>
        <w:t xml:space="preserve">Β. </w:t>
      </w:r>
      <w:r w:rsidR="00976B6D" w:rsidRPr="008C27BA">
        <w:rPr>
          <w:rFonts w:ascii="Palatino Linotype" w:hAnsi="Palatino Linotype" w:cs="MyriadPro-Regular"/>
          <w:b/>
          <w:sz w:val="24"/>
          <w:szCs w:val="24"/>
        </w:rPr>
        <w:t>Ενημέρωση γονέων</w:t>
      </w:r>
      <w:r w:rsidR="0013559C" w:rsidRPr="008C27BA">
        <w:rPr>
          <w:rFonts w:ascii="Palatino Linotype" w:hAnsi="Palatino Linotype" w:cs="MyriadPro-Regular"/>
          <w:b/>
          <w:sz w:val="24"/>
          <w:szCs w:val="24"/>
        </w:rPr>
        <w:t>-</w:t>
      </w:r>
      <w:r w:rsidR="00976B6D" w:rsidRPr="008C27BA">
        <w:rPr>
          <w:rFonts w:ascii="Palatino Linotype" w:hAnsi="Palatino Linotype" w:cs="MyriadPro-Regular"/>
          <w:b/>
          <w:sz w:val="24"/>
          <w:szCs w:val="24"/>
        </w:rPr>
        <w:t>Υποχρεώσεις γονέων μαθητών/τριών που απουσιάζουν</w:t>
      </w:r>
    </w:p>
    <w:p w:rsidR="00976B6D" w:rsidRPr="00976B6D" w:rsidRDefault="00976B6D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4"/>
          <w:szCs w:val="24"/>
        </w:rPr>
      </w:pPr>
      <w:r w:rsidRPr="00976B6D">
        <w:rPr>
          <w:rFonts w:ascii="Palatino Linotype" w:hAnsi="Palatino Linotype" w:cs="MyriadPro-Regular"/>
          <w:sz w:val="24"/>
          <w:szCs w:val="24"/>
        </w:rPr>
        <w:t>Για την τακτική παρακολούθηση της φοίτησης των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>μαθητών/τριών ευθύνονται εξ ολοκλήρου οι κηδεμόνες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>τους. Ο κηδεμόνας κάθε μαθητή/</w:t>
      </w:r>
      <w:proofErr w:type="spellStart"/>
      <w:r w:rsidRPr="00976B6D">
        <w:rPr>
          <w:rFonts w:ascii="Palatino Linotype" w:hAnsi="Palatino Linotype" w:cs="MyriadPro-Regular"/>
          <w:sz w:val="24"/>
          <w:szCs w:val="24"/>
        </w:rPr>
        <w:t>τριας</w:t>
      </w:r>
      <w:proofErr w:type="spellEnd"/>
      <w:r w:rsidRPr="00976B6D">
        <w:rPr>
          <w:rFonts w:ascii="Palatino Linotype" w:hAnsi="Palatino Linotype" w:cs="MyriadPro-Regular"/>
          <w:sz w:val="24"/>
          <w:szCs w:val="24"/>
        </w:rPr>
        <w:t xml:space="preserve"> που απουσίασε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 xml:space="preserve">από το σχολείο οφείλει να γνωστοποιεί στο σχολείο 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τους </w:t>
      </w:r>
      <w:r w:rsidRPr="00976B6D">
        <w:rPr>
          <w:rFonts w:ascii="Palatino Linotype" w:hAnsi="Palatino Linotype" w:cs="MyriadPro-Regular"/>
          <w:sz w:val="24"/>
          <w:szCs w:val="24"/>
        </w:rPr>
        <w:t>λόγους της απουσίας άμεσα με έναν από τους τρόπους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>επικοινωνίας που έχει δηλώσει στο σχολείο κατά την εγγραφή του/της μαθητή/</w:t>
      </w:r>
      <w:proofErr w:type="spellStart"/>
      <w:r w:rsidRPr="00976B6D">
        <w:rPr>
          <w:rFonts w:ascii="Palatino Linotype" w:hAnsi="Palatino Linotype" w:cs="MyriadPro-Regular"/>
          <w:sz w:val="24"/>
          <w:szCs w:val="24"/>
        </w:rPr>
        <w:t>τριας</w:t>
      </w:r>
      <w:proofErr w:type="spellEnd"/>
      <w:r w:rsidRPr="00976B6D">
        <w:rPr>
          <w:rFonts w:ascii="Palatino Linotype" w:hAnsi="Palatino Linotype" w:cs="MyriadPro-Regular"/>
          <w:sz w:val="24"/>
          <w:szCs w:val="24"/>
        </w:rPr>
        <w:t xml:space="preserve"> σε αυτό. Η γνωστοποίηση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>του λόγου των απουσιών συνοδεύεται από τα απαραίτητα δικαιολογητικά μόνο στην περίπτωση που προβλέπεται ο μη υπολογισμός τους κατά την έκδοση των</w:t>
      </w:r>
      <w:r w:rsidR="00851015">
        <w:rPr>
          <w:rFonts w:ascii="Palatino Linotype" w:hAnsi="Palatino Linotype" w:cs="MyriadPro-Regular"/>
          <w:sz w:val="24"/>
          <w:szCs w:val="24"/>
        </w:rPr>
        <w:t xml:space="preserve"> </w:t>
      </w:r>
      <w:r w:rsidRPr="00976B6D">
        <w:rPr>
          <w:rFonts w:ascii="Palatino Linotype" w:hAnsi="Palatino Linotype" w:cs="MyriadPro-Regular"/>
          <w:sz w:val="24"/>
          <w:szCs w:val="24"/>
        </w:rPr>
        <w:t>αποτελεσμάτων φ</w:t>
      </w:r>
      <w:r w:rsidR="00551D82">
        <w:rPr>
          <w:rFonts w:ascii="Palatino Linotype" w:hAnsi="Palatino Linotype" w:cs="MyriadPro-Regular"/>
          <w:sz w:val="24"/>
          <w:szCs w:val="24"/>
        </w:rPr>
        <w:t>οίτησης.</w:t>
      </w:r>
    </w:p>
    <w:p w:rsidR="00976B6D" w:rsidRDefault="00551D82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  <w:lang w:val="en-US"/>
        </w:rPr>
      </w:pPr>
      <w:r w:rsidRPr="008C27BA">
        <w:rPr>
          <w:rFonts w:ascii="Palatino Linotype" w:hAnsi="Palatino Linotype" w:cs="MyriadPro-Regular"/>
          <w:b/>
          <w:sz w:val="24"/>
          <w:szCs w:val="24"/>
        </w:rPr>
        <w:t xml:space="preserve">Γ. </w:t>
      </w:r>
      <w:r w:rsidR="00976B6D" w:rsidRPr="008C27BA">
        <w:rPr>
          <w:rFonts w:ascii="Palatino Linotype" w:hAnsi="Palatino Linotype" w:cs="MyriadPro-Regular"/>
          <w:b/>
          <w:sz w:val="24"/>
          <w:szCs w:val="24"/>
        </w:rPr>
        <w:t>Περιπτώσεις όπου απουσίες δεν λαμβάνονται</w:t>
      </w:r>
      <w:r w:rsidR="00851015" w:rsidRPr="008C27BA">
        <w:rPr>
          <w:rFonts w:ascii="Palatino Linotype" w:hAnsi="Palatino Linotype" w:cs="MyriadPro-Regular"/>
          <w:b/>
          <w:sz w:val="24"/>
          <w:szCs w:val="24"/>
        </w:rPr>
        <w:t xml:space="preserve"> </w:t>
      </w:r>
      <w:r w:rsidR="00976B6D" w:rsidRPr="008C27BA">
        <w:rPr>
          <w:rFonts w:ascii="Palatino Linotype" w:hAnsi="Palatino Linotype" w:cs="MyriadPro-Regular"/>
          <w:b/>
          <w:sz w:val="24"/>
          <w:szCs w:val="24"/>
        </w:rPr>
        <w:t>υπόψη για τον χαρακτηρισμό της φοίτησης</w:t>
      </w:r>
    </w:p>
    <w:p w:rsidR="006C52E6" w:rsidRPr="006C52E6" w:rsidRDefault="006C52E6" w:rsidP="006C52E6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περ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αρθ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>. 24 της 79942/ΓΔ4 (ΦΕΚ 2005/Β’/31-5-2019):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 xml:space="preserve">παρ.1γ) θρησκευτικές εορτές αλλοθρήσκων 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παρ 1δ) λόγω μετεγγραφής (2 ημέρες)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παρ 1στ) λόγω δυσμενών καιρικών συνθηκών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παρ 1ζ) πρόγραμμα μακροχρόνιας κινητικότητας στο εξωτερικό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παρ 1η) απεργία μέσων μαζικής μεταφοράς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 xml:space="preserve">παρ 1θ) επίσκεψη σε ΚΕΣΥ – </w:t>
      </w: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Ιατροπαιδαγωγικά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 Ινστιτούτα                                                                                                (2 ημέρες) 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</w:t>
      </w:r>
      <w:r w:rsidR="003F1E4A">
        <w:rPr>
          <w:rFonts w:ascii="Palatino Linotype" w:hAnsi="Palatino Linotype"/>
          <w:sz w:val="24"/>
          <w:szCs w:val="24"/>
          <w:lang w:val="el-GR"/>
        </w:rPr>
        <w:t>ρ 2: χρόνια νοσήματα (</w:t>
      </w:r>
      <w:r w:rsidRPr="006C52E6">
        <w:rPr>
          <w:rFonts w:ascii="Palatino Linotype" w:hAnsi="Palatino Linotype"/>
          <w:sz w:val="24"/>
          <w:szCs w:val="24"/>
          <w:lang w:val="el-GR"/>
        </w:rPr>
        <w:t>24 ημέρες)</w:t>
      </w:r>
    </w:p>
    <w:p w:rsid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παρ 3: νοσηλεία σε νοσοκομείο ή κατ’ οίκον μετά από χειρουργείο, επαναλαμβανόμενες νοσηλείες (20 ημέρες)</w:t>
      </w:r>
    </w:p>
    <w:p w:rsidR="006C52E6" w:rsidRPr="006C52E6" w:rsidRDefault="006C52E6" w:rsidP="006C52E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0"/>
          <w:szCs w:val="20"/>
        </w:rPr>
      </w:pPr>
      <w:r w:rsidRPr="006C52E6">
        <w:rPr>
          <w:rFonts w:ascii="Palatino Linotype" w:hAnsi="Palatino Linotype" w:cs="MyriadPro-Regular"/>
          <w:sz w:val="20"/>
          <w:szCs w:val="20"/>
        </w:rPr>
        <w:t>Σε κάθε μία από τις ανωτέρω περιπτώσεις οι κηδεμόνες των μαθητών/τριών θα πρέπει:</w:t>
      </w:r>
    </w:p>
    <w:p w:rsidR="006C52E6" w:rsidRPr="006C52E6" w:rsidRDefault="006C52E6" w:rsidP="006C52E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0"/>
          <w:szCs w:val="20"/>
        </w:rPr>
      </w:pPr>
      <w:r w:rsidRPr="006C52E6">
        <w:rPr>
          <w:rFonts w:ascii="Palatino Linotype" w:hAnsi="Palatino Linotype" w:cs="MyriadPro-Regular"/>
          <w:sz w:val="20"/>
          <w:szCs w:val="20"/>
        </w:rPr>
        <w:t>αα. Να ενημερώσουν τη Διεύθυνση του σχολείου για την ιδιάζουσα περίπτωση του προβλήματος υγείας.</w:t>
      </w:r>
    </w:p>
    <w:p w:rsidR="006C52E6" w:rsidRPr="006C52E6" w:rsidRDefault="006C52E6" w:rsidP="006C52E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sz w:val="20"/>
          <w:szCs w:val="20"/>
        </w:rPr>
      </w:pP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ββ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>. Να προσκομίσουν με αίτηση τους στη Διεύθυνση του σχολείου φοίτησης πρόσφατη σχετική ιατρική γνωμάτευση ή εξιτήριο από Δημόσιο Νοσοκομείο, η οποία φέρει σφραγίδα από Συντονιστή/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στρια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Διευθυντή/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ντρια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Κλινικής του Εθνικού Συστήματος Υγείας ή νόμιμα </w:t>
      </w:r>
      <w:r w:rsidRPr="006C52E6">
        <w:rPr>
          <w:rFonts w:ascii="Palatino Linotype" w:hAnsi="Palatino Linotype" w:cs="MyriadPro-Regular"/>
          <w:sz w:val="20"/>
          <w:szCs w:val="20"/>
        </w:rPr>
        <w:lastRenderedPageBreak/>
        <w:t>εκτελούντα/σα χρέη Συντονιστή/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στριας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Διευθυντή/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ντριας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Κλινικής του Εθνικού Συστήματος Υγείας ή Διευθυντή/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ντρια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Πανεπιστημιακής Κλινικής ή από Δημόσιο Κέντρο Υγείας στην περιοχή του/της μαθητή/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τριας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>, η οποία φέρει σφραγίδα του/της Διευθυντή/</w:t>
      </w:r>
      <w:proofErr w:type="spellStart"/>
      <w:r w:rsidRPr="006C52E6">
        <w:rPr>
          <w:rFonts w:ascii="Palatino Linotype" w:hAnsi="Palatino Linotype" w:cs="MyriadPro-Regular"/>
          <w:sz w:val="20"/>
          <w:szCs w:val="20"/>
        </w:rPr>
        <w:t>ντριας</w:t>
      </w:r>
      <w:proofErr w:type="spellEnd"/>
      <w:r w:rsidRPr="006C52E6">
        <w:rPr>
          <w:rFonts w:ascii="Palatino Linotype" w:hAnsi="Palatino Linotype" w:cs="MyriadPro-Regular"/>
          <w:sz w:val="20"/>
          <w:szCs w:val="20"/>
        </w:rPr>
        <w:t xml:space="preserve">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Κλινικής.</w:t>
      </w:r>
    </w:p>
    <w:p w:rsidR="006C52E6" w:rsidRDefault="008B3252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 4: εποχικές επιδημίες (5 ημέρες)</w:t>
      </w:r>
    </w:p>
    <w:p w:rsidR="008B3252" w:rsidRDefault="008B3252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 5: συμμετοχή μαθητών με εξαιρετικές επιδόσεις σε αθλητικές, πολιτιστικές διοργανώσεις πανελλήνιας ή ευρωπαϊκής ή παγκόσμιας εμβέλειας (2 εβδομάδες)</w:t>
      </w:r>
    </w:p>
    <w:p w:rsidR="008B3252" w:rsidRDefault="008B3252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 6: συμμετοχή σε πανελλήνιους ή διεθνείς διαγωνισμούς</w:t>
      </w:r>
    </w:p>
    <w:p w:rsidR="008B3252" w:rsidRDefault="008B3252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παρ 7: συμμετοχή αθλητών σε αθλητικές υποχρεώσεις προετοιμασίας ή συμμετοχής σε αθλητικές διοργανώσεις εθνικής ομάδας</w:t>
      </w:r>
    </w:p>
    <w:p w:rsidR="006C52E6" w:rsidRPr="006C52E6" w:rsidRDefault="006C52E6" w:rsidP="006C52E6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περ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αρθ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>. 26 της 79942/ΓΔ4 (ΦΕΚ 2005/Β’/31-5-2019):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 xml:space="preserve">κατ’ ιδίαν ή </w:t>
      </w: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κατ΄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 οίκον διδαχθέντες, στρατεύσιμοι</w:t>
      </w:r>
    </w:p>
    <w:p w:rsidR="006C52E6" w:rsidRPr="006C52E6" w:rsidRDefault="006C52E6" w:rsidP="006C52E6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περ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. </w:t>
      </w:r>
      <w:proofErr w:type="spellStart"/>
      <w:r w:rsidRPr="006C52E6">
        <w:rPr>
          <w:rFonts w:ascii="Palatino Linotype" w:hAnsi="Palatino Linotype"/>
          <w:sz w:val="24"/>
          <w:szCs w:val="24"/>
          <w:lang w:val="el-GR"/>
        </w:rPr>
        <w:t>αρθ</w:t>
      </w:r>
      <w:proofErr w:type="spellEnd"/>
      <w:r w:rsidRPr="006C52E6">
        <w:rPr>
          <w:rFonts w:ascii="Palatino Linotype" w:hAnsi="Palatino Linotype"/>
          <w:sz w:val="24"/>
          <w:szCs w:val="24"/>
          <w:lang w:val="el-GR"/>
        </w:rPr>
        <w:t xml:space="preserve">. 28 της 79942/ΓΔ4 (ΦΕΚ 2005/Β’/31-5-2019): </w:t>
      </w:r>
    </w:p>
    <w:p w:rsidR="006C52E6" w:rsidRPr="006C52E6" w:rsidRDefault="006C52E6" w:rsidP="006C52E6">
      <w:pPr>
        <w:pStyle w:val="a3"/>
        <w:jc w:val="both"/>
        <w:rPr>
          <w:rFonts w:ascii="Palatino Linotype" w:hAnsi="Palatino Linotype"/>
          <w:sz w:val="24"/>
          <w:szCs w:val="24"/>
          <w:lang w:val="el-GR"/>
        </w:rPr>
      </w:pPr>
      <w:r w:rsidRPr="006C52E6">
        <w:rPr>
          <w:rFonts w:ascii="Palatino Linotype" w:hAnsi="Palatino Linotype"/>
          <w:sz w:val="24"/>
          <w:szCs w:val="24"/>
          <w:lang w:val="el-GR"/>
        </w:rPr>
        <w:t>μαθητές με αναπηρία ή ειδικές εκπαιδευτικές ανάγκες δικαιούνται προσαύξηση 30%, εφόσον οι απουσίες οφείλονται αποδεδειγμένα στη συμμετοχή τους σε προγράμματα αποκατάστασης και θεραπείας</w:t>
      </w:r>
    </w:p>
    <w:p w:rsidR="003F1E4A" w:rsidRPr="003F1E4A" w:rsidRDefault="003F1E4A" w:rsidP="003F1E4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3F1E4A">
        <w:rPr>
          <w:rFonts w:ascii="Palatino Linotype" w:hAnsi="Palatino Linotype"/>
          <w:sz w:val="24"/>
          <w:szCs w:val="24"/>
          <w:lang w:val="el-GR"/>
        </w:rPr>
        <w:t xml:space="preserve">Εμβολιασμός κατά του </w:t>
      </w:r>
      <w:r w:rsidRPr="003F1E4A">
        <w:rPr>
          <w:rFonts w:ascii="Palatino Linotype" w:hAnsi="Palatino Linotype"/>
          <w:sz w:val="24"/>
          <w:szCs w:val="24"/>
        </w:rPr>
        <w:t>covid-19</w:t>
      </w:r>
    </w:p>
    <w:p w:rsidR="003F1E4A" w:rsidRPr="003F1E4A" w:rsidRDefault="003F1E4A" w:rsidP="003F1E4A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  <w:lang w:val="el-GR"/>
        </w:rPr>
      </w:pPr>
      <w:r w:rsidRPr="003F1E4A">
        <w:rPr>
          <w:rFonts w:ascii="Palatino Linotype" w:hAnsi="Palatino Linotype"/>
          <w:sz w:val="24"/>
          <w:szCs w:val="24"/>
        </w:rPr>
        <w:t>Covid-19</w:t>
      </w:r>
    </w:p>
    <w:p w:rsidR="006C52E6" w:rsidRPr="003F1E4A" w:rsidRDefault="006C52E6" w:rsidP="003F1E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</w:p>
    <w:p w:rsidR="006C52E6" w:rsidRPr="006C52E6" w:rsidRDefault="006C52E6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</w:p>
    <w:p w:rsidR="006C52E6" w:rsidRPr="006C52E6" w:rsidRDefault="006C52E6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</w:p>
    <w:p w:rsidR="006C52E6" w:rsidRPr="006C52E6" w:rsidRDefault="006C52E6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</w:p>
    <w:p w:rsidR="006C52E6" w:rsidRPr="006C52E6" w:rsidRDefault="006C52E6" w:rsidP="00976B6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MyriadPro-Regular"/>
          <w:b/>
          <w:sz w:val="24"/>
          <w:szCs w:val="24"/>
        </w:rPr>
      </w:pPr>
    </w:p>
    <w:sectPr w:rsidR="006C52E6" w:rsidRPr="006C52E6" w:rsidSect="006C52E6">
      <w:pgSz w:w="11906" w:h="16838" w:code="9"/>
      <w:pgMar w:top="1440" w:right="128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0E01"/>
    <w:multiLevelType w:val="hybridMultilevel"/>
    <w:tmpl w:val="6D46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26C8"/>
    <w:rsid w:val="000251EF"/>
    <w:rsid w:val="000600F1"/>
    <w:rsid w:val="000F1DED"/>
    <w:rsid w:val="0013559C"/>
    <w:rsid w:val="002C657A"/>
    <w:rsid w:val="002D2F55"/>
    <w:rsid w:val="003277ED"/>
    <w:rsid w:val="00353A38"/>
    <w:rsid w:val="00361FFA"/>
    <w:rsid w:val="003A305C"/>
    <w:rsid w:val="003F1E4A"/>
    <w:rsid w:val="00430CEF"/>
    <w:rsid w:val="00551D82"/>
    <w:rsid w:val="005947B9"/>
    <w:rsid w:val="006128E0"/>
    <w:rsid w:val="00627FCE"/>
    <w:rsid w:val="00690B09"/>
    <w:rsid w:val="006C52E6"/>
    <w:rsid w:val="00814A75"/>
    <w:rsid w:val="00816FE0"/>
    <w:rsid w:val="00851015"/>
    <w:rsid w:val="00863727"/>
    <w:rsid w:val="00880886"/>
    <w:rsid w:val="008B26FA"/>
    <w:rsid w:val="008B3252"/>
    <w:rsid w:val="008C11C9"/>
    <w:rsid w:val="008C27BA"/>
    <w:rsid w:val="00962325"/>
    <w:rsid w:val="00976B6D"/>
    <w:rsid w:val="009C45B4"/>
    <w:rsid w:val="00A101CF"/>
    <w:rsid w:val="00AE6F5D"/>
    <w:rsid w:val="00B27CFF"/>
    <w:rsid w:val="00B85E61"/>
    <w:rsid w:val="00C20234"/>
    <w:rsid w:val="00C326C8"/>
    <w:rsid w:val="00C33D69"/>
    <w:rsid w:val="00D54C36"/>
    <w:rsid w:val="00E14E28"/>
    <w:rsid w:val="00FB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E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</dc:creator>
  <cp:lastModifiedBy>School</cp:lastModifiedBy>
  <cp:revision>25</cp:revision>
  <dcterms:created xsi:type="dcterms:W3CDTF">2021-10-06T10:37:00Z</dcterms:created>
  <dcterms:modified xsi:type="dcterms:W3CDTF">2022-10-03T07:56:00Z</dcterms:modified>
</cp:coreProperties>
</file>